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0BCD">
      <w:pPr>
        <w:spacing w:line="440" w:lineRule="exact"/>
        <w:jc w:val="center"/>
        <w:rPr>
          <w:rFonts w:ascii="Times New Roman" w:hAnsi="Times New Roman" w:eastAsia="仿宋_GB2312" w:cs="仿宋_GB2312"/>
          <w:b/>
          <w:sz w:val="32"/>
          <w:szCs w:val="32"/>
        </w:rPr>
      </w:pPr>
      <w:r>
        <w:rPr>
          <w:rFonts w:hint="eastAsia" w:ascii="Times New Roman" w:hAnsi="Times New Roman" w:eastAsia="仿宋_GB2312" w:cs="仿宋_GB2312"/>
          <w:b/>
          <w:sz w:val="32"/>
          <w:szCs w:val="32"/>
        </w:rPr>
        <w:t>环境保护科学技术奖提名项目公示信息</w:t>
      </w:r>
    </w:p>
    <w:p w14:paraId="422FAFF5">
      <w:pPr>
        <w:pStyle w:val="15"/>
        <w:numPr>
          <w:ilvl w:val="0"/>
          <w:numId w:val="1"/>
        </w:numPr>
        <w:spacing w:line="440" w:lineRule="exact"/>
        <w:ind w:firstLineChars="0"/>
        <w:rPr>
          <w:rFonts w:ascii="Times New Roman" w:hAnsi="Times New Roman" w:eastAsia="仿宋" w:cs="仿宋_GB2312"/>
          <w:sz w:val="28"/>
          <w:szCs w:val="28"/>
        </w:rPr>
      </w:pPr>
      <w:r>
        <w:rPr>
          <w:rFonts w:hint="eastAsia" w:ascii="Times New Roman" w:hAnsi="Times New Roman" w:eastAsia="仿宋" w:cs="仿宋_GB2312"/>
          <w:b/>
          <w:sz w:val="28"/>
          <w:szCs w:val="28"/>
        </w:rPr>
        <w:t>项目名称：</w:t>
      </w:r>
      <w:r>
        <w:rPr>
          <w:rFonts w:hint="eastAsia" w:ascii="Times New Roman" w:hAnsi="Times New Roman" w:eastAsia="仿宋" w:cs="仿宋_GB2312"/>
          <w:sz w:val="28"/>
          <w:szCs w:val="28"/>
        </w:rPr>
        <w:t>矿山采空区多源固废改性充填协同碳封存关键技术及应用</w:t>
      </w:r>
    </w:p>
    <w:p w14:paraId="31E29059">
      <w:pPr>
        <w:pStyle w:val="15"/>
        <w:numPr>
          <w:ilvl w:val="0"/>
          <w:numId w:val="1"/>
        </w:numPr>
        <w:spacing w:line="440" w:lineRule="exact"/>
        <w:ind w:firstLineChars="0"/>
        <w:rPr>
          <w:rFonts w:ascii="Times New Roman" w:hAnsi="Times New Roman" w:eastAsia="仿宋" w:cs="仿宋_GB2312"/>
          <w:sz w:val="28"/>
          <w:szCs w:val="28"/>
        </w:rPr>
      </w:pPr>
      <w:r>
        <w:rPr>
          <w:rFonts w:hint="eastAsia" w:ascii="Times New Roman" w:hAnsi="Times New Roman" w:eastAsia="仿宋" w:cs="仿宋_GB2312"/>
          <w:b/>
          <w:bCs/>
          <w:sz w:val="28"/>
          <w:szCs w:val="28"/>
        </w:rPr>
        <w:t>提名奖项和等级：</w:t>
      </w:r>
      <w:r>
        <w:rPr>
          <w:rFonts w:hint="eastAsia" w:ascii="Times New Roman" w:hAnsi="Times New Roman" w:eastAsia="仿宋" w:cs="仿宋_GB2312"/>
          <w:sz w:val="28"/>
          <w:szCs w:val="28"/>
        </w:rPr>
        <w:t>环境保护科学技术奖一等奖或二等奖</w:t>
      </w:r>
    </w:p>
    <w:p w14:paraId="314C4724">
      <w:pPr>
        <w:pStyle w:val="4"/>
        <w:numPr>
          <w:ilvl w:val="0"/>
          <w:numId w:val="1"/>
        </w:numPr>
        <w:spacing w:line="440" w:lineRule="exact"/>
        <w:ind w:left="0" w:firstLine="0" w:firstLineChars="0"/>
        <w:rPr>
          <w:rFonts w:ascii="Times New Roman" w:eastAsia="仿宋"/>
          <w:iCs/>
          <w:color w:val="000000"/>
          <w:kern w:val="0"/>
          <w:sz w:val="28"/>
          <w:szCs w:val="28"/>
        </w:rPr>
      </w:pPr>
      <w:r>
        <w:rPr>
          <w:rFonts w:hint="eastAsia" w:ascii="Times New Roman" w:eastAsia="仿宋" w:cs="仿宋_GB2312"/>
          <w:b/>
          <w:sz w:val="28"/>
          <w:szCs w:val="28"/>
        </w:rPr>
        <w:t>主要完成单位：</w:t>
      </w:r>
      <w:r>
        <w:rPr>
          <w:rFonts w:hint="eastAsia" w:ascii="Times New Roman" w:eastAsia="仿宋"/>
          <w:kern w:val="0"/>
          <w:sz w:val="28"/>
          <w:szCs w:val="28"/>
        </w:rPr>
        <w:t>生态环境部固体废物与化学品管理技术中心、西安科技大学、中煤科工生态环境科技有限公司、飞翼股份有限公司、</w:t>
      </w:r>
      <w:r>
        <w:rPr>
          <w:rFonts w:hint="eastAsia" w:ascii="Times New Roman" w:eastAsia="仿宋"/>
          <w:iCs/>
          <w:color w:val="000000"/>
          <w:kern w:val="0"/>
          <w:sz w:val="28"/>
          <w:szCs w:val="28"/>
        </w:rPr>
        <w:t>榆林学院、西安弗尔绿创矿业科技有限责任公司</w:t>
      </w:r>
    </w:p>
    <w:p w14:paraId="77199357">
      <w:pPr>
        <w:pStyle w:val="15"/>
        <w:numPr>
          <w:ilvl w:val="0"/>
          <w:numId w:val="1"/>
        </w:numPr>
        <w:spacing w:line="460" w:lineRule="exact"/>
        <w:ind w:firstLineChars="0"/>
        <w:rPr>
          <w:rFonts w:ascii="Times New Roman" w:hAnsi="Times New Roman" w:eastAsia="仿宋" w:cs="仿宋_GB2312"/>
          <w:b/>
          <w:sz w:val="28"/>
          <w:szCs w:val="28"/>
        </w:rPr>
      </w:pPr>
      <w:r>
        <w:rPr>
          <w:rFonts w:hint="eastAsia" w:ascii="Times New Roman" w:hAnsi="Times New Roman" w:eastAsia="仿宋" w:cs="仿宋_GB2312"/>
          <w:b/>
          <w:sz w:val="28"/>
          <w:szCs w:val="28"/>
        </w:rPr>
        <w:t>主要完成人情况</w:t>
      </w:r>
    </w:p>
    <w:tbl>
      <w:tblPr>
        <w:tblStyle w:val="7"/>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709"/>
        <w:gridCol w:w="1134"/>
        <w:gridCol w:w="1701"/>
        <w:gridCol w:w="1701"/>
        <w:gridCol w:w="2268"/>
      </w:tblGrid>
      <w:tr w14:paraId="0AAF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851" w:type="dxa"/>
            <w:vAlign w:val="center"/>
          </w:tcPr>
          <w:p w14:paraId="2B3662DF">
            <w:pPr>
              <w:adjustRightInd w:val="0"/>
              <w:snapToGrid w:val="0"/>
              <w:rPr>
                <w:rFonts w:ascii="Times New Roman" w:hAnsi="Times New Roman" w:eastAsia="仿宋"/>
                <w:color w:val="000000"/>
                <w:szCs w:val="21"/>
              </w:rPr>
            </w:pPr>
            <w:r>
              <w:rPr>
                <w:rFonts w:ascii="Times New Roman" w:hAnsi="Times New Roman" w:eastAsia="仿宋"/>
                <w:color w:val="000000"/>
                <w:szCs w:val="21"/>
              </w:rPr>
              <w:t>姓名</w:t>
            </w:r>
          </w:p>
        </w:tc>
        <w:tc>
          <w:tcPr>
            <w:tcW w:w="709" w:type="dxa"/>
            <w:vAlign w:val="center"/>
          </w:tcPr>
          <w:p w14:paraId="607BDF00">
            <w:pPr>
              <w:adjustRightInd w:val="0"/>
              <w:snapToGrid w:val="0"/>
              <w:jc w:val="center"/>
              <w:rPr>
                <w:rFonts w:ascii="Times New Roman" w:hAnsi="Times New Roman" w:eastAsia="仿宋"/>
                <w:color w:val="000000"/>
                <w:szCs w:val="21"/>
              </w:rPr>
            </w:pPr>
            <w:r>
              <w:rPr>
                <w:rFonts w:ascii="Times New Roman" w:hAnsi="Times New Roman" w:eastAsia="仿宋"/>
                <w:color w:val="000000"/>
                <w:szCs w:val="21"/>
              </w:rPr>
              <w:t>排名</w:t>
            </w:r>
          </w:p>
        </w:tc>
        <w:tc>
          <w:tcPr>
            <w:tcW w:w="1134" w:type="dxa"/>
            <w:vAlign w:val="center"/>
          </w:tcPr>
          <w:p w14:paraId="0B26E29D">
            <w:pPr>
              <w:adjustRightInd w:val="0"/>
              <w:snapToGrid w:val="0"/>
              <w:jc w:val="center"/>
              <w:rPr>
                <w:rFonts w:ascii="Times New Roman" w:hAnsi="Times New Roman" w:eastAsia="仿宋"/>
                <w:color w:val="000000"/>
                <w:szCs w:val="21"/>
              </w:rPr>
            </w:pPr>
            <w:r>
              <w:rPr>
                <w:rFonts w:ascii="Times New Roman" w:hAnsi="Times New Roman" w:eastAsia="仿宋"/>
                <w:color w:val="000000"/>
                <w:szCs w:val="21"/>
              </w:rPr>
              <w:t>技术职称</w:t>
            </w:r>
          </w:p>
        </w:tc>
        <w:tc>
          <w:tcPr>
            <w:tcW w:w="1701" w:type="dxa"/>
            <w:vAlign w:val="center"/>
          </w:tcPr>
          <w:p w14:paraId="6DD04BD1">
            <w:pPr>
              <w:adjustRightInd w:val="0"/>
              <w:snapToGrid w:val="0"/>
              <w:jc w:val="center"/>
              <w:rPr>
                <w:rFonts w:ascii="Times New Roman" w:hAnsi="Times New Roman" w:eastAsia="仿宋"/>
                <w:color w:val="000000"/>
                <w:szCs w:val="21"/>
              </w:rPr>
            </w:pPr>
            <w:r>
              <w:rPr>
                <w:rFonts w:ascii="Times New Roman" w:hAnsi="Times New Roman" w:eastAsia="仿宋"/>
                <w:color w:val="000000"/>
                <w:szCs w:val="21"/>
              </w:rPr>
              <w:t>工作单位</w:t>
            </w:r>
          </w:p>
        </w:tc>
        <w:tc>
          <w:tcPr>
            <w:tcW w:w="1701" w:type="dxa"/>
            <w:vAlign w:val="center"/>
          </w:tcPr>
          <w:p w14:paraId="6AF98643">
            <w:pPr>
              <w:adjustRightInd w:val="0"/>
              <w:snapToGrid w:val="0"/>
              <w:jc w:val="center"/>
              <w:rPr>
                <w:rFonts w:ascii="Times New Roman" w:hAnsi="Times New Roman" w:eastAsia="仿宋"/>
                <w:color w:val="000000"/>
                <w:szCs w:val="21"/>
              </w:rPr>
            </w:pPr>
            <w:r>
              <w:rPr>
                <w:rFonts w:ascii="Times New Roman" w:hAnsi="Times New Roman" w:eastAsia="仿宋"/>
                <w:color w:val="000000"/>
                <w:szCs w:val="21"/>
              </w:rPr>
              <w:t>完成单位</w:t>
            </w:r>
          </w:p>
        </w:tc>
        <w:tc>
          <w:tcPr>
            <w:tcW w:w="2268" w:type="dxa"/>
            <w:vAlign w:val="center"/>
          </w:tcPr>
          <w:p w14:paraId="01A0A391">
            <w:pPr>
              <w:adjustRightInd w:val="0"/>
              <w:snapToGrid w:val="0"/>
              <w:jc w:val="center"/>
              <w:rPr>
                <w:rFonts w:ascii="Times New Roman" w:hAnsi="Times New Roman" w:eastAsia="仿宋"/>
                <w:color w:val="000000"/>
                <w:szCs w:val="21"/>
              </w:rPr>
            </w:pPr>
            <w:r>
              <w:rPr>
                <w:rFonts w:ascii="Times New Roman" w:hAnsi="Times New Roman" w:eastAsia="仿宋"/>
                <w:color w:val="000000"/>
                <w:szCs w:val="21"/>
              </w:rPr>
              <w:t>对本项目贡献</w:t>
            </w:r>
          </w:p>
        </w:tc>
      </w:tr>
      <w:tr w14:paraId="5A46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0EF81F80">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刘  浪</w:t>
            </w:r>
          </w:p>
        </w:tc>
        <w:tc>
          <w:tcPr>
            <w:tcW w:w="709" w:type="dxa"/>
            <w:vAlign w:val="center"/>
          </w:tcPr>
          <w:p w14:paraId="5FDD2AEE">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1</w:t>
            </w:r>
          </w:p>
        </w:tc>
        <w:tc>
          <w:tcPr>
            <w:tcW w:w="1134" w:type="dxa"/>
            <w:vAlign w:val="center"/>
          </w:tcPr>
          <w:p w14:paraId="42C4E236">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教授</w:t>
            </w:r>
          </w:p>
        </w:tc>
        <w:tc>
          <w:tcPr>
            <w:tcW w:w="1701" w:type="dxa"/>
            <w:vAlign w:val="center"/>
          </w:tcPr>
          <w:p w14:paraId="16270970">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72A1BCAA">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41CFC1B0">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项目总负责，设计整体研究架构，项目现场应用示范及推广</w:t>
            </w:r>
          </w:p>
        </w:tc>
      </w:tr>
      <w:tr w14:paraId="66B4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59FFC4FF">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赵  康</w:t>
            </w:r>
          </w:p>
        </w:tc>
        <w:tc>
          <w:tcPr>
            <w:tcW w:w="709" w:type="dxa"/>
            <w:vAlign w:val="center"/>
          </w:tcPr>
          <w:p w14:paraId="443541A1">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2</w:t>
            </w:r>
          </w:p>
        </w:tc>
        <w:tc>
          <w:tcPr>
            <w:tcW w:w="1134" w:type="dxa"/>
            <w:vAlign w:val="center"/>
          </w:tcPr>
          <w:p w14:paraId="4A2392E8">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教授</w:t>
            </w:r>
          </w:p>
        </w:tc>
        <w:tc>
          <w:tcPr>
            <w:tcW w:w="1701" w:type="dxa"/>
            <w:vAlign w:val="center"/>
          </w:tcPr>
          <w:p w14:paraId="51C7AAD1">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1701" w:type="dxa"/>
            <w:vAlign w:val="center"/>
          </w:tcPr>
          <w:p w14:paraId="73F0FA46">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2268" w:type="dxa"/>
            <w:vAlign w:val="center"/>
          </w:tcPr>
          <w:p w14:paraId="7EBE5446">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煤基全固废充填体力学强度研究</w:t>
            </w:r>
          </w:p>
        </w:tc>
      </w:tr>
      <w:tr w14:paraId="342D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22FA323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王  美</w:t>
            </w:r>
          </w:p>
        </w:tc>
        <w:tc>
          <w:tcPr>
            <w:tcW w:w="709" w:type="dxa"/>
            <w:vAlign w:val="center"/>
          </w:tcPr>
          <w:p w14:paraId="73661018">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3</w:t>
            </w:r>
          </w:p>
        </w:tc>
        <w:tc>
          <w:tcPr>
            <w:tcW w:w="1134" w:type="dxa"/>
            <w:vAlign w:val="center"/>
          </w:tcPr>
          <w:p w14:paraId="2D8462EE">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副教授</w:t>
            </w:r>
          </w:p>
        </w:tc>
        <w:tc>
          <w:tcPr>
            <w:tcW w:w="1701" w:type="dxa"/>
            <w:vAlign w:val="center"/>
          </w:tcPr>
          <w:p w14:paraId="4AD401D4">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4256F2CA">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1CAD01E2">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煤基全固废充填材料管输流变特性研究</w:t>
            </w:r>
          </w:p>
        </w:tc>
      </w:tr>
      <w:tr w14:paraId="3EE6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6112565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朱梦博</w:t>
            </w:r>
          </w:p>
        </w:tc>
        <w:tc>
          <w:tcPr>
            <w:tcW w:w="709" w:type="dxa"/>
            <w:vAlign w:val="center"/>
          </w:tcPr>
          <w:p w14:paraId="17873DD8">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4</w:t>
            </w:r>
          </w:p>
        </w:tc>
        <w:tc>
          <w:tcPr>
            <w:tcW w:w="1134" w:type="dxa"/>
            <w:vAlign w:val="center"/>
          </w:tcPr>
          <w:p w14:paraId="3A5C5312">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副教授</w:t>
            </w:r>
          </w:p>
        </w:tc>
        <w:tc>
          <w:tcPr>
            <w:tcW w:w="1701" w:type="dxa"/>
            <w:vAlign w:val="center"/>
          </w:tcPr>
          <w:p w14:paraId="02EBBDF2">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28E2AFA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1B7A539F">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煤基固废改性机理及工艺研究</w:t>
            </w:r>
          </w:p>
        </w:tc>
      </w:tr>
      <w:tr w14:paraId="3E41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3696DF3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胡华龙</w:t>
            </w:r>
          </w:p>
        </w:tc>
        <w:tc>
          <w:tcPr>
            <w:tcW w:w="709" w:type="dxa"/>
            <w:vAlign w:val="center"/>
          </w:tcPr>
          <w:p w14:paraId="54FE180C">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5</w:t>
            </w:r>
          </w:p>
        </w:tc>
        <w:tc>
          <w:tcPr>
            <w:tcW w:w="1134" w:type="dxa"/>
            <w:vAlign w:val="center"/>
          </w:tcPr>
          <w:p w14:paraId="32ED60BF">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研究员</w:t>
            </w:r>
          </w:p>
        </w:tc>
        <w:tc>
          <w:tcPr>
            <w:tcW w:w="1701" w:type="dxa"/>
            <w:vAlign w:val="center"/>
          </w:tcPr>
          <w:p w14:paraId="57A557C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1701" w:type="dxa"/>
            <w:vAlign w:val="center"/>
          </w:tcPr>
          <w:p w14:paraId="7D263A32">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2268" w:type="dxa"/>
            <w:vAlign w:val="center"/>
          </w:tcPr>
          <w:p w14:paraId="3E93917E">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多源固废充填材料的环境安全特征研究</w:t>
            </w:r>
          </w:p>
        </w:tc>
      </w:tr>
      <w:tr w14:paraId="678A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6B8E40C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叶根飞</w:t>
            </w:r>
          </w:p>
        </w:tc>
        <w:tc>
          <w:tcPr>
            <w:tcW w:w="709" w:type="dxa"/>
            <w:vAlign w:val="center"/>
          </w:tcPr>
          <w:p w14:paraId="4B580442">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6</w:t>
            </w:r>
          </w:p>
        </w:tc>
        <w:tc>
          <w:tcPr>
            <w:tcW w:w="1134" w:type="dxa"/>
            <w:vAlign w:val="center"/>
          </w:tcPr>
          <w:p w14:paraId="0AA83C75">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研究员</w:t>
            </w:r>
          </w:p>
        </w:tc>
        <w:tc>
          <w:tcPr>
            <w:tcW w:w="1701" w:type="dxa"/>
            <w:vAlign w:val="center"/>
          </w:tcPr>
          <w:p w14:paraId="73241E3B">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中煤科工生态环境科技有限公司</w:t>
            </w:r>
          </w:p>
        </w:tc>
        <w:tc>
          <w:tcPr>
            <w:tcW w:w="1701" w:type="dxa"/>
            <w:vAlign w:val="center"/>
          </w:tcPr>
          <w:p w14:paraId="4BA8B372">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中煤科工生态环境科技有限公司</w:t>
            </w:r>
          </w:p>
        </w:tc>
        <w:tc>
          <w:tcPr>
            <w:tcW w:w="2268" w:type="dxa"/>
            <w:vAlign w:val="center"/>
          </w:tcPr>
          <w:p w14:paraId="21F8F98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CO</w:t>
            </w:r>
            <w:r>
              <w:rPr>
                <w:rFonts w:hint="eastAsia" w:ascii="Times New Roman" w:hAnsi="Times New Roman" w:eastAsia="仿宋"/>
                <w:color w:val="000000"/>
                <w:szCs w:val="21"/>
                <w:vertAlign w:val="subscript"/>
              </w:rPr>
              <w:t>2</w:t>
            </w:r>
            <w:r>
              <w:rPr>
                <w:rFonts w:hint="eastAsia" w:ascii="Times New Roman" w:hAnsi="Times New Roman" w:eastAsia="仿宋"/>
                <w:color w:val="000000"/>
                <w:szCs w:val="21"/>
              </w:rPr>
              <w:t>矿化封存与充填技术研究</w:t>
            </w:r>
          </w:p>
        </w:tc>
      </w:tr>
      <w:tr w14:paraId="06F7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43B51619">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聂晶磊</w:t>
            </w:r>
          </w:p>
        </w:tc>
        <w:tc>
          <w:tcPr>
            <w:tcW w:w="709" w:type="dxa"/>
            <w:vAlign w:val="center"/>
          </w:tcPr>
          <w:p w14:paraId="151D9BCB">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7</w:t>
            </w:r>
          </w:p>
        </w:tc>
        <w:tc>
          <w:tcPr>
            <w:tcW w:w="1134" w:type="dxa"/>
            <w:vAlign w:val="center"/>
          </w:tcPr>
          <w:p w14:paraId="2BEE8500">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正高级工程师</w:t>
            </w:r>
          </w:p>
        </w:tc>
        <w:tc>
          <w:tcPr>
            <w:tcW w:w="1701" w:type="dxa"/>
            <w:vAlign w:val="center"/>
          </w:tcPr>
          <w:p w14:paraId="78712B10">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1701" w:type="dxa"/>
            <w:vAlign w:val="center"/>
          </w:tcPr>
          <w:p w14:paraId="288DEB64">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2268" w:type="dxa"/>
            <w:vAlign w:val="center"/>
          </w:tcPr>
          <w:p w14:paraId="678C286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新型煤基固废环境影响评价研究</w:t>
            </w:r>
          </w:p>
        </w:tc>
      </w:tr>
      <w:tr w14:paraId="4725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6D7DB938">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张泽武</w:t>
            </w:r>
          </w:p>
        </w:tc>
        <w:tc>
          <w:tcPr>
            <w:tcW w:w="709" w:type="dxa"/>
            <w:vAlign w:val="center"/>
          </w:tcPr>
          <w:p w14:paraId="0B379AF9">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8</w:t>
            </w:r>
          </w:p>
        </w:tc>
        <w:tc>
          <w:tcPr>
            <w:tcW w:w="1134" w:type="dxa"/>
            <w:vAlign w:val="center"/>
          </w:tcPr>
          <w:p w14:paraId="6F40FF39">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高级工程师</w:t>
            </w:r>
          </w:p>
        </w:tc>
        <w:tc>
          <w:tcPr>
            <w:tcW w:w="1701" w:type="dxa"/>
            <w:vAlign w:val="center"/>
          </w:tcPr>
          <w:p w14:paraId="2B8C1376">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飞翼股份有限公司</w:t>
            </w:r>
          </w:p>
        </w:tc>
        <w:tc>
          <w:tcPr>
            <w:tcW w:w="1701" w:type="dxa"/>
            <w:vAlign w:val="center"/>
          </w:tcPr>
          <w:p w14:paraId="37D3631E">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飞翼股份有限公司</w:t>
            </w:r>
          </w:p>
        </w:tc>
        <w:tc>
          <w:tcPr>
            <w:tcW w:w="2268" w:type="dxa"/>
            <w:vAlign w:val="center"/>
          </w:tcPr>
          <w:p w14:paraId="438E5A2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煤电固废基胶凝材料的工业化验证</w:t>
            </w:r>
          </w:p>
        </w:tc>
      </w:tr>
      <w:tr w14:paraId="4C94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1" w:type="dxa"/>
            <w:vAlign w:val="center"/>
          </w:tcPr>
          <w:p w14:paraId="00AE3013">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秦学斌</w:t>
            </w:r>
          </w:p>
        </w:tc>
        <w:tc>
          <w:tcPr>
            <w:tcW w:w="709" w:type="dxa"/>
            <w:vAlign w:val="center"/>
          </w:tcPr>
          <w:p w14:paraId="3576FE7A">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9</w:t>
            </w:r>
          </w:p>
        </w:tc>
        <w:tc>
          <w:tcPr>
            <w:tcW w:w="1134" w:type="dxa"/>
            <w:vAlign w:val="center"/>
          </w:tcPr>
          <w:p w14:paraId="310D634B">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副教授</w:t>
            </w:r>
          </w:p>
        </w:tc>
        <w:tc>
          <w:tcPr>
            <w:tcW w:w="1701" w:type="dxa"/>
            <w:vAlign w:val="center"/>
          </w:tcPr>
          <w:p w14:paraId="69A6F26F">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44AF8363">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1C50387F">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充填过程可视化技术研究</w:t>
            </w:r>
          </w:p>
        </w:tc>
      </w:tr>
      <w:tr w14:paraId="5A99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1" w:type="dxa"/>
            <w:vAlign w:val="center"/>
          </w:tcPr>
          <w:p w14:paraId="684B397F">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王若帆</w:t>
            </w:r>
          </w:p>
        </w:tc>
        <w:tc>
          <w:tcPr>
            <w:tcW w:w="709" w:type="dxa"/>
            <w:vAlign w:val="center"/>
          </w:tcPr>
          <w:p w14:paraId="28E9B6E6">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 xml:space="preserve">10 </w:t>
            </w:r>
          </w:p>
        </w:tc>
        <w:tc>
          <w:tcPr>
            <w:tcW w:w="1134" w:type="dxa"/>
            <w:vAlign w:val="center"/>
          </w:tcPr>
          <w:p w14:paraId="291A4F67">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副教授</w:t>
            </w:r>
          </w:p>
        </w:tc>
        <w:tc>
          <w:tcPr>
            <w:tcW w:w="1701" w:type="dxa"/>
            <w:vAlign w:val="center"/>
          </w:tcPr>
          <w:p w14:paraId="7164DE95">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45BBF4D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56AD8A24">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充填储库力学性能研究</w:t>
            </w:r>
          </w:p>
        </w:tc>
      </w:tr>
      <w:tr w14:paraId="3D00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4A447C3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李  强</w:t>
            </w:r>
          </w:p>
        </w:tc>
        <w:tc>
          <w:tcPr>
            <w:tcW w:w="709" w:type="dxa"/>
            <w:vAlign w:val="center"/>
          </w:tcPr>
          <w:p w14:paraId="405F1790">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11</w:t>
            </w:r>
          </w:p>
        </w:tc>
        <w:tc>
          <w:tcPr>
            <w:tcW w:w="1134" w:type="dxa"/>
            <w:vAlign w:val="center"/>
          </w:tcPr>
          <w:p w14:paraId="1B17BC44">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教授</w:t>
            </w:r>
          </w:p>
        </w:tc>
        <w:tc>
          <w:tcPr>
            <w:tcW w:w="1701" w:type="dxa"/>
            <w:vAlign w:val="center"/>
          </w:tcPr>
          <w:p w14:paraId="789E4515">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榆林学院</w:t>
            </w:r>
          </w:p>
        </w:tc>
        <w:tc>
          <w:tcPr>
            <w:tcW w:w="1701" w:type="dxa"/>
            <w:vAlign w:val="center"/>
          </w:tcPr>
          <w:p w14:paraId="6ACD224C">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榆林学院</w:t>
            </w:r>
          </w:p>
        </w:tc>
        <w:tc>
          <w:tcPr>
            <w:tcW w:w="2268" w:type="dxa"/>
            <w:vAlign w:val="center"/>
          </w:tcPr>
          <w:p w14:paraId="5AA9BE8F">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煤矸石固废充填材料研究</w:t>
            </w:r>
          </w:p>
        </w:tc>
      </w:tr>
      <w:tr w14:paraId="1D8B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533027F6">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马  超</w:t>
            </w:r>
          </w:p>
        </w:tc>
        <w:tc>
          <w:tcPr>
            <w:tcW w:w="709" w:type="dxa"/>
            <w:vAlign w:val="center"/>
          </w:tcPr>
          <w:p w14:paraId="7979FC94">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12</w:t>
            </w:r>
          </w:p>
        </w:tc>
        <w:tc>
          <w:tcPr>
            <w:tcW w:w="1134" w:type="dxa"/>
            <w:vAlign w:val="center"/>
          </w:tcPr>
          <w:p w14:paraId="57DBAF67">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助理工程师</w:t>
            </w:r>
          </w:p>
        </w:tc>
        <w:tc>
          <w:tcPr>
            <w:tcW w:w="1701" w:type="dxa"/>
            <w:vAlign w:val="center"/>
          </w:tcPr>
          <w:p w14:paraId="21E4E32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1701" w:type="dxa"/>
            <w:vAlign w:val="center"/>
          </w:tcPr>
          <w:p w14:paraId="64EB15C0">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生态环境部固体废物与化学品管理技术中心</w:t>
            </w:r>
          </w:p>
        </w:tc>
        <w:tc>
          <w:tcPr>
            <w:tcW w:w="2268" w:type="dxa"/>
            <w:vAlign w:val="center"/>
          </w:tcPr>
          <w:p w14:paraId="29AE44A3">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全固废充填材料环保特性技术研究</w:t>
            </w:r>
          </w:p>
        </w:tc>
      </w:tr>
      <w:tr w14:paraId="0C3B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1BD81488">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方治余</w:t>
            </w:r>
          </w:p>
        </w:tc>
        <w:tc>
          <w:tcPr>
            <w:tcW w:w="709" w:type="dxa"/>
            <w:vAlign w:val="center"/>
          </w:tcPr>
          <w:p w14:paraId="4B986180">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13</w:t>
            </w:r>
          </w:p>
        </w:tc>
        <w:tc>
          <w:tcPr>
            <w:tcW w:w="1134" w:type="dxa"/>
            <w:vAlign w:val="center"/>
          </w:tcPr>
          <w:p w14:paraId="2FE138E7">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博士生</w:t>
            </w:r>
          </w:p>
        </w:tc>
        <w:tc>
          <w:tcPr>
            <w:tcW w:w="1701" w:type="dxa"/>
            <w:vAlign w:val="center"/>
          </w:tcPr>
          <w:p w14:paraId="6E50C1BE">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2B258F55">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5AF88CB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煤基固废CO</w:t>
            </w:r>
            <w:r>
              <w:rPr>
                <w:rFonts w:hint="eastAsia" w:ascii="Times New Roman" w:hAnsi="Times New Roman" w:eastAsia="仿宋"/>
                <w:color w:val="000000"/>
                <w:szCs w:val="21"/>
                <w:vertAlign w:val="subscript"/>
              </w:rPr>
              <w:t>2</w:t>
            </w:r>
            <w:r>
              <w:rPr>
                <w:rFonts w:hint="eastAsia" w:ascii="Times New Roman" w:hAnsi="Times New Roman" w:eastAsia="仿宋"/>
                <w:color w:val="000000"/>
                <w:szCs w:val="21"/>
              </w:rPr>
              <w:t>矿化封存技术研究</w:t>
            </w:r>
          </w:p>
        </w:tc>
      </w:tr>
      <w:tr w14:paraId="5354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53EE11F8">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屈慧升</w:t>
            </w:r>
          </w:p>
        </w:tc>
        <w:tc>
          <w:tcPr>
            <w:tcW w:w="709" w:type="dxa"/>
            <w:vAlign w:val="center"/>
          </w:tcPr>
          <w:p w14:paraId="6F34344D">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14</w:t>
            </w:r>
          </w:p>
        </w:tc>
        <w:tc>
          <w:tcPr>
            <w:tcW w:w="1134" w:type="dxa"/>
            <w:vAlign w:val="center"/>
          </w:tcPr>
          <w:p w14:paraId="40C76CA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博士后</w:t>
            </w:r>
          </w:p>
        </w:tc>
        <w:tc>
          <w:tcPr>
            <w:tcW w:w="1701" w:type="dxa"/>
            <w:vAlign w:val="center"/>
          </w:tcPr>
          <w:p w14:paraId="3DA108AE">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1701" w:type="dxa"/>
            <w:vAlign w:val="center"/>
          </w:tcPr>
          <w:p w14:paraId="65D6E143">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西安科技大学</w:t>
            </w:r>
          </w:p>
        </w:tc>
        <w:tc>
          <w:tcPr>
            <w:tcW w:w="2268" w:type="dxa"/>
            <w:vAlign w:val="center"/>
          </w:tcPr>
          <w:p w14:paraId="7F8CB050">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固废盐改性-碱激发的全固废胶凝材料协同反应研究</w:t>
            </w:r>
          </w:p>
        </w:tc>
      </w:tr>
      <w:tr w14:paraId="2F07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851" w:type="dxa"/>
            <w:vAlign w:val="center"/>
          </w:tcPr>
          <w:p w14:paraId="791F9DE7">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阮仕山</w:t>
            </w:r>
          </w:p>
        </w:tc>
        <w:tc>
          <w:tcPr>
            <w:tcW w:w="709" w:type="dxa"/>
            <w:vAlign w:val="center"/>
          </w:tcPr>
          <w:p w14:paraId="4CF99A75">
            <w:pPr>
              <w:adjustRightInd w:val="0"/>
              <w:snapToGrid w:val="0"/>
              <w:jc w:val="center"/>
              <w:rPr>
                <w:rFonts w:ascii="Times New Roman" w:hAnsi="Times New Roman" w:eastAsia="仿宋"/>
                <w:color w:val="000000"/>
                <w:szCs w:val="21"/>
              </w:rPr>
            </w:pPr>
            <w:r>
              <w:rPr>
                <w:rFonts w:hint="eastAsia" w:ascii="Times New Roman" w:hAnsi="Times New Roman" w:eastAsia="仿宋"/>
                <w:color w:val="000000"/>
                <w:szCs w:val="21"/>
              </w:rPr>
              <w:t>15</w:t>
            </w:r>
          </w:p>
        </w:tc>
        <w:tc>
          <w:tcPr>
            <w:tcW w:w="1134" w:type="dxa"/>
            <w:vAlign w:val="center"/>
          </w:tcPr>
          <w:p w14:paraId="1EA757F1">
            <w:pPr>
              <w:adjustRightInd w:val="0"/>
              <w:snapToGrid w:val="0"/>
              <w:rPr>
                <w:rFonts w:ascii="Times New Roman" w:hAnsi="Times New Roman" w:eastAsia="仿宋"/>
                <w:strike/>
                <w:color w:val="000000"/>
                <w:szCs w:val="21"/>
              </w:rPr>
            </w:pPr>
            <w:r>
              <w:rPr>
                <w:rFonts w:hint="eastAsia" w:ascii="Times New Roman" w:hAnsi="Times New Roman" w:eastAsia="仿宋"/>
                <w:color w:val="000000"/>
                <w:szCs w:val="21"/>
              </w:rPr>
              <w:t>博士生</w:t>
            </w:r>
          </w:p>
        </w:tc>
        <w:tc>
          <w:tcPr>
            <w:tcW w:w="1701" w:type="dxa"/>
            <w:vAlign w:val="center"/>
          </w:tcPr>
          <w:p w14:paraId="14E57F70">
            <w:pPr>
              <w:adjustRightInd w:val="0"/>
              <w:snapToGrid w:val="0"/>
              <w:rPr>
                <w:rFonts w:ascii="Times New Roman" w:hAnsi="Times New Roman" w:eastAsia="仿宋"/>
                <w:strike/>
                <w:color w:val="000000"/>
                <w:szCs w:val="21"/>
              </w:rPr>
            </w:pPr>
            <w:r>
              <w:rPr>
                <w:rFonts w:hint="eastAsia" w:ascii="Times New Roman" w:hAnsi="Times New Roman" w:eastAsia="仿宋"/>
                <w:color w:val="000000"/>
                <w:szCs w:val="21"/>
              </w:rPr>
              <w:t>西安科技大学</w:t>
            </w:r>
          </w:p>
        </w:tc>
        <w:tc>
          <w:tcPr>
            <w:tcW w:w="1701" w:type="dxa"/>
            <w:vAlign w:val="center"/>
          </w:tcPr>
          <w:p w14:paraId="435698B8">
            <w:pPr>
              <w:adjustRightInd w:val="0"/>
              <w:snapToGrid w:val="0"/>
              <w:rPr>
                <w:rFonts w:ascii="Times New Roman" w:hAnsi="Times New Roman" w:eastAsia="仿宋"/>
                <w:strike/>
                <w:color w:val="000000"/>
                <w:szCs w:val="21"/>
              </w:rPr>
            </w:pPr>
            <w:r>
              <w:rPr>
                <w:rFonts w:hint="eastAsia" w:ascii="Times New Roman" w:hAnsi="Times New Roman" w:eastAsia="仿宋"/>
                <w:color w:val="000000"/>
                <w:szCs w:val="21"/>
              </w:rPr>
              <w:t>西安科技大学</w:t>
            </w:r>
          </w:p>
        </w:tc>
        <w:tc>
          <w:tcPr>
            <w:tcW w:w="2268" w:type="dxa"/>
            <w:vAlign w:val="center"/>
          </w:tcPr>
          <w:p w14:paraId="6C2DAB0D">
            <w:pPr>
              <w:adjustRightInd w:val="0"/>
              <w:snapToGrid w:val="0"/>
              <w:rPr>
                <w:rFonts w:ascii="Times New Roman" w:hAnsi="Times New Roman" w:eastAsia="仿宋"/>
                <w:color w:val="000000"/>
                <w:szCs w:val="21"/>
              </w:rPr>
            </w:pPr>
            <w:r>
              <w:rPr>
                <w:rFonts w:hint="eastAsia" w:ascii="Times New Roman" w:hAnsi="Times New Roman" w:eastAsia="仿宋"/>
                <w:color w:val="000000"/>
                <w:szCs w:val="21"/>
              </w:rPr>
              <w:t>镁煤渣基固废改性及胶凝材料研发</w:t>
            </w:r>
          </w:p>
        </w:tc>
      </w:tr>
    </w:tbl>
    <w:p w14:paraId="2A4FF0E6">
      <w:pPr>
        <w:pStyle w:val="4"/>
        <w:numPr>
          <w:ilvl w:val="0"/>
          <w:numId w:val="1"/>
        </w:numPr>
        <w:spacing w:before="156" w:beforeLines="50" w:line="440" w:lineRule="exact"/>
        <w:ind w:firstLineChars="0"/>
        <w:outlineLvl w:val="1"/>
        <w:rPr>
          <w:rFonts w:ascii="Times New Roman" w:eastAsia="仿宋" w:cs="仿宋_GB2312"/>
          <w:b/>
          <w:sz w:val="28"/>
          <w:szCs w:val="28"/>
        </w:rPr>
      </w:pPr>
      <w:r>
        <w:rPr>
          <w:rFonts w:hint="eastAsia" w:ascii="Times New Roman" w:eastAsia="仿宋" w:cs="仿宋_GB2312"/>
          <w:b/>
          <w:sz w:val="28"/>
          <w:szCs w:val="28"/>
        </w:rPr>
        <w:t>提名者：</w:t>
      </w:r>
      <w:r>
        <w:rPr>
          <w:rFonts w:hint="eastAsia" w:ascii="Times New Roman" w:eastAsia="仿宋" w:cs="仿宋_GB2312"/>
          <w:bCs/>
          <w:sz w:val="28"/>
          <w:szCs w:val="28"/>
        </w:rPr>
        <w:t>中国环境科学学会固体废物分会</w:t>
      </w:r>
    </w:p>
    <w:p w14:paraId="6A494C62">
      <w:pPr>
        <w:pStyle w:val="4"/>
        <w:spacing w:line="440" w:lineRule="exact"/>
        <w:ind w:firstLine="560"/>
        <w:outlineLvl w:val="1"/>
        <w:rPr>
          <w:rFonts w:ascii="Times New Roman" w:eastAsia="仿宋"/>
          <w:iCs/>
          <w:kern w:val="0"/>
          <w:sz w:val="28"/>
          <w:szCs w:val="28"/>
        </w:rPr>
      </w:pPr>
      <w:r>
        <w:rPr>
          <w:rFonts w:hint="eastAsia" w:ascii="Times New Roman" w:eastAsia="仿宋" w:cs="仿宋_GB2312"/>
          <w:sz w:val="28"/>
          <w:szCs w:val="28"/>
        </w:rPr>
        <w:t>提名意见：</w:t>
      </w:r>
      <w:r>
        <w:rPr>
          <w:rFonts w:ascii="Times New Roman" w:eastAsia="仿宋"/>
          <w:iCs/>
          <w:color w:val="000000"/>
          <w:kern w:val="0"/>
          <w:sz w:val="28"/>
          <w:szCs w:val="28"/>
        </w:rPr>
        <w:t>该成果以</w:t>
      </w:r>
      <w:r>
        <w:rPr>
          <w:rFonts w:hint="eastAsia" w:ascii="Times New Roman" w:eastAsia="仿宋"/>
          <w:iCs/>
          <w:color w:val="000000"/>
          <w:kern w:val="0"/>
          <w:sz w:val="28"/>
          <w:szCs w:val="28"/>
        </w:rPr>
        <w:t>典型煤炭开采、煤化工、煤电工业</w:t>
      </w:r>
      <w:r>
        <w:rPr>
          <w:rFonts w:ascii="Times New Roman" w:eastAsia="仿宋"/>
          <w:iCs/>
          <w:color w:val="000000"/>
          <w:kern w:val="0"/>
          <w:sz w:val="28"/>
          <w:szCs w:val="28"/>
        </w:rPr>
        <w:t>固体废弃物无害化处</w:t>
      </w:r>
      <w:r>
        <w:rPr>
          <w:rFonts w:hint="eastAsia" w:ascii="Times New Roman" w:eastAsia="仿宋"/>
          <w:iCs/>
          <w:color w:val="000000"/>
          <w:kern w:val="0"/>
          <w:sz w:val="28"/>
          <w:szCs w:val="28"/>
        </w:rPr>
        <w:t>置与</w:t>
      </w:r>
      <w:r>
        <w:rPr>
          <w:rFonts w:ascii="Times New Roman" w:eastAsia="仿宋"/>
          <w:iCs/>
          <w:color w:val="000000"/>
          <w:kern w:val="0"/>
          <w:sz w:val="28"/>
          <w:szCs w:val="28"/>
        </w:rPr>
        <w:t>规模化消纳</w:t>
      </w:r>
      <w:r>
        <w:rPr>
          <w:rFonts w:hint="eastAsia" w:ascii="Times New Roman" w:eastAsia="仿宋"/>
          <w:iCs/>
          <w:color w:val="000000"/>
          <w:kern w:val="0"/>
          <w:sz w:val="28"/>
          <w:szCs w:val="28"/>
        </w:rPr>
        <w:t>，以及采空区二氧化碳封存</w:t>
      </w:r>
      <w:r>
        <w:rPr>
          <w:rFonts w:ascii="Times New Roman" w:eastAsia="仿宋"/>
          <w:iCs/>
          <w:color w:val="000000"/>
          <w:kern w:val="0"/>
          <w:sz w:val="28"/>
          <w:szCs w:val="28"/>
        </w:rPr>
        <w:t>为目标，以</w:t>
      </w:r>
      <w:r>
        <w:rPr>
          <w:rFonts w:hint="eastAsia" w:ascii="Times New Roman" w:eastAsia="仿宋"/>
          <w:iCs/>
          <w:color w:val="000000"/>
          <w:kern w:val="0"/>
          <w:sz w:val="28"/>
          <w:szCs w:val="28"/>
        </w:rPr>
        <w:t>矿井充填为</w:t>
      </w:r>
      <w:r>
        <w:rPr>
          <w:rFonts w:ascii="Times New Roman" w:eastAsia="仿宋"/>
          <w:iCs/>
          <w:color w:val="000000"/>
          <w:kern w:val="0"/>
          <w:sz w:val="28"/>
          <w:szCs w:val="28"/>
        </w:rPr>
        <w:t>载体，围绕</w:t>
      </w:r>
      <w:r>
        <w:rPr>
          <w:rFonts w:hint="eastAsia" w:ascii="Times New Roman" w:eastAsia="仿宋"/>
          <w:iCs/>
          <w:color w:val="000000"/>
          <w:kern w:val="0"/>
          <w:sz w:val="28"/>
          <w:szCs w:val="28"/>
        </w:rPr>
        <w:t>多源固废联合改性及胶凝材料与矿化材料研发、矿山采空区多源固废胶结充填碳封存储库构筑、充填储库二氧化碳物化协同封存技术与效能提升等方面展开了系统研究，创新了大宗多源煤基固废协同改性与利用模式，研发了绿色低碳的改性煤基固废胶凝材料与矿化封存材料，从充填材料性能调控、充填过程可视化检测、物化碳封存协同、封存能效提升及风险评估等角度全面构建了采空区多源固废胶结充填碳封存储库构筑技术，并实现了规模化的工程应用，</w:t>
      </w:r>
      <w:r>
        <w:rPr>
          <w:rFonts w:ascii="Times New Roman" w:eastAsia="仿宋"/>
          <w:iCs/>
          <w:color w:val="000000"/>
          <w:kern w:val="0"/>
          <w:sz w:val="28"/>
          <w:szCs w:val="28"/>
        </w:rPr>
        <w:t>研究成果具有很强的市场竞争力和极大推广应用价值，</w:t>
      </w:r>
      <w:r>
        <w:rPr>
          <w:rFonts w:hint="eastAsia" w:ascii="Times New Roman" w:eastAsia="仿宋"/>
          <w:iCs/>
          <w:color w:val="000000"/>
          <w:kern w:val="0"/>
          <w:sz w:val="28"/>
          <w:szCs w:val="28"/>
        </w:rPr>
        <w:t>对实现煤基固废资源化利用及碳具有重要意义。成果材料齐全、规范，无知识产权纠纷，人员排序无争议，符合环境保护科学技术奖提名条件。特提名为环境保护科学技术一等奖</w:t>
      </w:r>
      <w:r>
        <w:rPr>
          <w:rFonts w:hint="eastAsia" w:ascii="Times New Roman" w:eastAsia="仿宋"/>
          <w:iCs/>
          <w:kern w:val="0"/>
          <w:sz w:val="28"/>
          <w:szCs w:val="28"/>
        </w:rPr>
        <w:t>或二等奖。</w:t>
      </w:r>
    </w:p>
    <w:p w14:paraId="5F32360E">
      <w:pPr>
        <w:pStyle w:val="15"/>
        <w:numPr>
          <w:ilvl w:val="0"/>
          <w:numId w:val="1"/>
        </w:numPr>
        <w:spacing w:before="156" w:beforeLines="50" w:line="460" w:lineRule="exact"/>
        <w:ind w:firstLineChars="0"/>
        <w:rPr>
          <w:rFonts w:ascii="Times New Roman" w:hAnsi="Times New Roman" w:eastAsia="仿宋" w:cs="仿宋_GB2312"/>
          <w:b/>
          <w:sz w:val="28"/>
          <w:szCs w:val="28"/>
        </w:rPr>
      </w:pPr>
      <w:r>
        <w:rPr>
          <w:rFonts w:ascii="Times New Roman" w:hAnsi="Times New Roman" w:eastAsia="仿宋" w:cs="仿宋_GB2312"/>
          <w:b/>
          <w:sz w:val="28"/>
          <w:szCs w:val="28"/>
        </w:rPr>
        <w:t>项目简介：</w:t>
      </w:r>
    </w:p>
    <w:p w14:paraId="5B95D1E3">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本项目属于环境工程领域。</w:t>
      </w:r>
    </w:p>
    <w:p w14:paraId="0E5198E9">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矿山采空区引发的地表沉陷与煤电、煤化工生产形成的巨量煤基固废处置，是矿产开发与应用领域亟需解决的环境难题。我国煤炭工业开采生态破坏的面积达10万平方公里，其中矿山采空区面积达1.5万平方公里，采空区导致的地表沉陷引发了水土流失与植被破坏，甚至土地沙漠化等问题。一方面位于煤炭产业上游的煤矿采空区治理缺乏大量的土方材料；另一方面处于煤炭产业下游的煤电与煤化工等产业，每年产出巨量的煤基固废，如煤矸石7.43亿吨/a、粉煤灰7.04亿吨/a，堆积成山的煤基固废，造成周围土壤、植被、空气、地下水的污染，对区域生态环境及产业链可持续发展形成了巨大威胁。为此，本项目聚焦矿业生态环境保护，从整合矿业产业链不同环节的环境问题与需求出发，通过改性多源煤基固废制备胶结充填及矿化材料，利用大宗多源固废基充填材料构筑采空区充填储库以封存二氧化碳，在解决采空区充填需求和煤基固废消纳的同时，实现大规模地下碳封存。主要创新点如下：</w:t>
      </w:r>
    </w:p>
    <w:p w14:paraId="696AF2FA">
      <w:pPr>
        <w:pStyle w:val="4"/>
        <w:numPr>
          <w:ilvl w:val="0"/>
          <w:numId w:val="2"/>
        </w:numPr>
        <w:spacing w:line="440" w:lineRule="exact"/>
        <w:ind w:firstLineChars="0"/>
        <w:outlineLvl w:val="1"/>
        <w:rPr>
          <w:rFonts w:ascii="Times New Roman" w:eastAsia="仿宋"/>
          <w:b/>
          <w:bCs/>
          <w:iCs/>
          <w:color w:val="000000"/>
          <w:kern w:val="0"/>
          <w:sz w:val="28"/>
          <w:szCs w:val="28"/>
        </w:rPr>
      </w:pPr>
      <w:r>
        <w:rPr>
          <w:rFonts w:hint="eastAsia" w:ascii="Times New Roman" w:eastAsia="仿宋"/>
          <w:b/>
          <w:bCs/>
          <w:iCs/>
          <w:color w:val="000000"/>
          <w:kern w:val="0"/>
          <w:sz w:val="28"/>
          <w:szCs w:val="28"/>
        </w:rPr>
        <w:t>多源固废联合改性及胶凝材料与矿化材料研发</w:t>
      </w:r>
    </w:p>
    <w:p w14:paraId="4EAD0362">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发明了多源固废改性剂，开发了优化剂改性镁渣技术和镁渣改性煤基固废技术，研制了绿色低碳改性镁-煤渣基胶凝材料，建立了全固废胶凝材料制备理论与生产技术体系；研发了高性能、高固碳率的多源固废二氧化碳封存矿化材料以及矿化材料，形成了充填材料矿化工业烟气CO</w:t>
      </w:r>
      <w:r>
        <w:rPr>
          <w:rFonts w:hint="eastAsia" w:ascii="Times New Roman" w:eastAsia="仿宋"/>
          <w:iCs/>
          <w:color w:val="000000"/>
          <w:kern w:val="0"/>
          <w:sz w:val="28"/>
          <w:szCs w:val="28"/>
          <w:vertAlign w:val="subscript"/>
        </w:rPr>
        <w:t>2</w:t>
      </w:r>
      <w:r>
        <w:rPr>
          <w:rFonts w:hint="eastAsia" w:ascii="Times New Roman" w:eastAsia="仿宋"/>
          <w:iCs/>
          <w:color w:val="000000"/>
          <w:kern w:val="0"/>
          <w:sz w:val="28"/>
          <w:szCs w:val="28"/>
        </w:rPr>
        <w:t>技术，系统研究了矿化材料的物化特性与矿化性能，建立了矿化材料制备的多参数复合目标优化模型。为采空区充填协同碳封存提供可靠的理论参数、原料基础和负碳媒介。</w:t>
      </w:r>
    </w:p>
    <w:p w14:paraId="10689FAF">
      <w:pPr>
        <w:pStyle w:val="4"/>
        <w:numPr>
          <w:ilvl w:val="0"/>
          <w:numId w:val="2"/>
        </w:numPr>
        <w:spacing w:line="440" w:lineRule="exact"/>
        <w:ind w:firstLineChars="0"/>
        <w:outlineLvl w:val="1"/>
        <w:rPr>
          <w:rFonts w:ascii="Times New Roman" w:eastAsia="仿宋"/>
          <w:b/>
          <w:bCs/>
          <w:sz w:val="28"/>
        </w:rPr>
      </w:pPr>
      <w:r>
        <w:rPr>
          <w:rFonts w:hint="eastAsia" w:ascii="Times New Roman" w:eastAsia="仿宋"/>
          <w:b/>
          <w:bCs/>
          <w:sz w:val="28"/>
        </w:rPr>
        <w:t>矿山采空区多源固废胶结充填碳封存储库构筑技术</w:t>
      </w:r>
    </w:p>
    <w:p w14:paraId="63FA80F3">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研制了充填专用外加剂，形成了多源固废矿化充填材料流动、力学、环境性能的调控技术；</w:t>
      </w:r>
      <w:r>
        <w:rPr>
          <w:rFonts w:ascii="Times New Roman" w:eastAsia="仿宋"/>
          <w:sz w:val="28"/>
        </w:rPr>
        <w:t>研发了</w:t>
      </w:r>
      <w:r>
        <w:rPr>
          <w:rFonts w:hint="eastAsia" w:ascii="Times New Roman" w:eastAsia="仿宋"/>
          <w:iCs/>
          <w:color w:val="000000"/>
          <w:kern w:val="0"/>
          <w:sz w:val="28"/>
          <w:szCs w:val="28"/>
        </w:rPr>
        <w:t>充填</w:t>
      </w:r>
      <w:r>
        <w:rPr>
          <w:rFonts w:ascii="Times New Roman" w:eastAsia="仿宋"/>
          <w:sz w:val="28"/>
        </w:rPr>
        <w:t>膏体长距离</w:t>
      </w:r>
      <w:r>
        <w:rPr>
          <w:rFonts w:hint="eastAsia" w:ascii="Times New Roman" w:eastAsia="仿宋"/>
          <w:iCs/>
          <w:color w:val="000000"/>
          <w:kern w:val="0"/>
          <w:sz w:val="28"/>
          <w:szCs w:val="28"/>
        </w:rPr>
        <w:t>管输电阻/超声双模态层析检测装置</w:t>
      </w:r>
      <w:r>
        <w:rPr>
          <w:rFonts w:hint="eastAsia" w:ascii="Times New Roman" w:eastAsia="仿宋"/>
          <w:sz w:val="28"/>
        </w:rPr>
        <w:t>，开发了</w:t>
      </w:r>
      <w:r>
        <w:rPr>
          <w:rFonts w:ascii="Times New Roman" w:eastAsia="仿宋"/>
          <w:sz w:val="28"/>
        </w:rPr>
        <w:t>成像算法，</w:t>
      </w:r>
      <w:r>
        <w:rPr>
          <w:rFonts w:hint="eastAsia" w:ascii="Times New Roman" w:eastAsia="仿宋"/>
          <w:iCs/>
          <w:color w:val="000000"/>
          <w:kern w:val="0"/>
          <w:sz w:val="28"/>
          <w:szCs w:val="28"/>
        </w:rPr>
        <w:t>开发了分布式下料-全域排水/气-接顶监测联合的密实接顶技术；提出了煤矿</w:t>
      </w:r>
      <w:r>
        <w:rPr>
          <w:rFonts w:hint="eastAsia" w:ascii="Times New Roman" w:eastAsia="仿宋"/>
          <w:sz w:val="28"/>
        </w:rPr>
        <w:t>短-长壁间断充填开采和“掘-充-留”</w:t>
      </w:r>
      <w:r>
        <w:rPr>
          <w:rFonts w:ascii="Times New Roman" w:eastAsia="仿宋"/>
          <w:iCs/>
          <w:color w:val="000000"/>
          <w:kern w:val="0"/>
          <w:sz w:val="28"/>
          <w:szCs w:val="28"/>
        </w:rPr>
        <w:t>一体化</w:t>
      </w:r>
      <w:r>
        <w:rPr>
          <w:rFonts w:hint="eastAsia" w:ascii="Times New Roman" w:eastAsia="仿宋"/>
          <w:iCs/>
          <w:color w:val="000000"/>
          <w:kern w:val="0"/>
          <w:sz w:val="28"/>
          <w:szCs w:val="28"/>
        </w:rPr>
        <w:t>方法</w:t>
      </w:r>
      <w:r>
        <w:rPr>
          <w:rFonts w:hint="eastAsia" w:ascii="Times New Roman" w:eastAsia="仿宋"/>
          <w:sz w:val="28"/>
        </w:rPr>
        <w:t>，形成了采空区CO</w:t>
      </w:r>
      <w:r>
        <w:rPr>
          <w:rFonts w:hint="eastAsia" w:ascii="Times New Roman" w:eastAsia="仿宋"/>
          <w:sz w:val="28"/>
          <w:vertAlign w:val="subscript"/>
        </w:rPr>
        <w:t>2</w:t>
      </w:r>
      <w:r>
        <w:rPr>
          <w:rFonts w:hint="eastAsia" w:ascii="Times New Roman" w:eastAsia="仿宋"/>
          <w:sz w:val="28"/>
        </w:rPr>
        <w:t>封存储盖结构充填构筑技术。为采空区</w:t>
      </w:r>
      <w:r>
        <w:rPr>
          <w:rFonts w:hint="eastAsia" w:ascii="Times New Roman" w:eastAsia="仿宋"/>
          <w:iCs/>
          <w:color w:val="000000"/>
          <w:kern w:val="0"/>
          <w:sz w:val="28"/>
          <w:szCs w:val="28"/>
        </w:rPr>
        <w:t>充填协同碳封存提供了安全可靠的技术路径。</w:t>
      </w:r>
    </w:p>
    <w:p w14:paraId="30C930CC">
      <w:pPr>
        <w:pStyle w:val="4"/>
        <w:numPr>
          <w:ilvl w:val="0"/>
          <w:numId w:val="2"/>
        </w:numPr>
        <w:spacing w:line="440" w:lineRule="exact"/>
        <w:ind w:firstLineChars="0"/>
        <w:outlineLvl w:val="1"/>
        <w:rPr>
          <w:rFonts w:ascii="Times New Roman" w:eastAsia="仿宋"/>
          <w:b/>
          <w:bCs/>
          <w:sz w:val="28"/>
        </w:rPr>
      </w:pPr>
      <w:r>
        <w:rPr>
          <w:rFonts w:hint="eastAsia" w:ascii="Times New Roman" w:eastAsia="仿宋"/>
          <w:b/>
          <w:bCs/>
          <w:sz w:val="28"/>
        </w:rPr>
        <w:t>充填储库二氧化碳物化协同封存技术与效能</w:t>
      </w:r>
    </w:p>
    <w:p w14:paraId="20F4897C">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提出了充填储库二氧化碳物理-化学协同封存技术，揭示了CO</w:t>
      </w:r>
      <w:r>
        <w:rPr>
          <w:rFonts w:hint="eastAsia" w:ascii="Times New Roman" w:eastAsia="仿宋"/>
          <w:iCs/>
          <w:color w:val="000000"/>
          <w:kern w:val="0"/>
          <w:sz w:val="28"/>
          <w:szCs w:val="28"/>
          <w:vertAlign w:val="subscript"/>
        </w:rPr>
        <w:t>2</w:t>
      </w:r>
      <w:r>
        <w:rPr>
          <w:rFonts w:hint="eastAsia" w:ascii="Times New Roman" w:eastAsia="仿宋"/>
          <w:iCs/>
          <w:color w:val="000000"/>
          <w:kern w:val="0"/>
          <w:sz w:val="28"/>
          <w:szCs w:val="28"/>
        </w:rPr>
        <w:t>物理-化学协同封存机制；建立了CO</w:t>
      </w:r>
      <w:r>
        <w:rPr>
          <w:rFonts w:hint="eastAsia" w:ascii="Times New Roman" w:eastAsia="仿宋"/>
          <w:iCs/>
          <w:color w:val="000000"/>
          <w:kern w:val="0"/>
          <w:sz w:val="28"/>
          <w:szCs w:val="28"/>
          <w:vertAlign w:val="subscript"/>
        </w:rPr>
        <w:t>2</w:t>
      </w:r>
      <w:r>
        <w:rPr>
          <w:rFonts w:hint="eastAsia" w:ascii="Times New Roman" w:eastAsia="仿宋"/>
          <w:iCs/>
          <w:color w:val="000000"/>
          <w:kern w:val="0"/>
          <w:sz w:val="28"/>
          <w:szCs w:val="28"/>
        </w:rPr>
        <w:t>在矿化封存材料中的渗流-扩散-矿化数值模型，发明了CO</w:t>
      </w:r>
      <w:r>
        <w:rPr>
          <w:rFonts w:hint="eastAsia" w:ascii="Times New Roman" w:eastAsia="仿宋"/>
          <w:iCs/>
          <w:color w:val="000000"/>
          <w:kern w:val="0"/>
          <w:sz w:val="28"/>
          <w:szCs w:val="28"/>
          <w:vertAlign w:val="subscript"/>
        </w:rPr>
        <w:t>2</w:t>
      </w:r>
      <w:r>
        <w:rPr>
          <w:rFonts w:hint="eastAsia" w:ascii="Times New Roman" w:eastAsia="仿宋"/>
          <w:iCs/>
          <w:color w:val="000000"/>
          <w:kern w:val="0"/>
          <w:sz w:val="28"/>
          <w:szCs w:val="28"/>
        </w:rPr>
        <w:t>物理-化学协同封存的多源充注方法与工艺，形成了充填储库CO</w:t>
      </w:r>
      <w:r>
        <w:rPr>
          <w:rFonts w:hint="eastAsia" w:ascii="Times New Roman" w:eastAsia="仿宋"/>
          <w:iCs/>
          <w:color w:val="000000"/>
          <w:kern w:val="0"/>
          <w:sz w:val="28"/>
          <w:szCs w:val="28"/>
          <w:vertAlign w:val="subscript"/>
        </w:rPr>
        <w:t>2</w:t>
      </w:r>
      <w:r>
        <w:rPr>
          <w:rFonts w:hint="eastAsia" w:ascii="Times New Roman" w:eastAsia="仿宋"/>
          <w:iCs/>
          <w:color w:val="000000"/>
          <w:kern w:val="0"/>
          <w:sz w:val="28"/>
          <w:szCs w:val="28"/>
        </w:rPr>
        <w:t>封存效能优化调控方法与环境安全风险监测及评价方法。为充填储库CO</w:t>
      </w:r>
      <w:r>
        <w:rPr>
          <w:rFonts w:hint="eastAsia" w:ascii="Times New Roman" w:eastAsia="仿宋"/>
          <w:iCs/>
          <w:color w:val="000000"/>
          <w:kern w:val="0"/>
          <w:sz w:val="28"/>
          <w:szCs w:val="28"/>
          <w:vertAlign w:val="subscript"/>
        </w:rPr>
        <w:t>2</w:t>
      </w:r>
      <w:r>
        <w:rPr>
          <w:rFonts w:hint="eastAsia" w:ascii="Times New Roman" w:eastAsia="仿宋"/>
          <w:iCs/>
          <w:color w:val="000000"/>
          <w:kern w:val="0"/>
          <w:sz w:val="28"/>
          <w:szCs w:val="28"/>
        </w:rPr>
        <w:t>物理-化学协同封存提供了理论基础。</w:t>
      </w:r>
    </w:p>
    <w:p w14:paraId="28343DF2">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项目出版专著1部，相关成果先后在《煤炭学报》、《Journal of Cleaner Production》及《Science of the Total Environment》等国内外著名学术期刊发表论文155篇，其中SCI收录121篇、EI收录36篇；授权发明专利44项，授权实用新型专利3项，软件著作权4部；制定中国煤炭工业协会团体标准、榆林市地方标准等5项标准；3份政策研究建议得到4位省部级领导批示，申报的“如何实现我国煤矿超大量三废（固、液、气）低成本地质封存及生态环境协同发展”入选中国科协十大工程技术难题项目，并被遂选刊入中国科协报送党中央、国务院有关部门的《科技工作者建议》；送检9个批次胶凝材料、充填材料样品，样品浸出液（HJ557）检测结果均远低于《污水综合排放标准》GB 8978-1996表1第一类污染物最高允许排放浓度限值要求，满足《一般工业固体废物贮存和填埋污染控制标准》（GB 18599-2020）。项目研究成果已在榆林泰发祥矿业有限公司、榆林市榆阳区常兴煤矿等获得成功应用，生产改性煤基全固废矿用胶凝材料33.82万吨，煤矿采空区充填143.98万</w:t>
      </w:r>
      <w:r>
        <w:rPr>
          <w:rFonts w:hint="default" w:ascii="Times New Roman" w:hAnsi="Times New Roman" w:eastAsia="仿宋" w:cs="Times New Roman"/>
          <w:iCs/>
          <w:color w:val="000000"/>
          <w:kern w:val="0"/>
          <w:sz w:val="28"/>
          <w:szCs w:val="28"/>
        </w:rPr>
        <w:t>m</w:t>
      </w:r>
      <w:bookmarkStart w:id="0" w:name="_GoBack"/>
      <w:r>
        <w:rPr>
          <w:rFonts w:hint="default" w:ascii="Times New Roman" w:hAnsi="Times New Roman" w:eastAsia="仿宋" w:cs="Times New Roman"/>
          <w:iCs/>
          <w:color w:val="000000"/>
          <w:kern w:val="0"/>
          <w:sz w:val="28"/>
          <w:szCs w:val="28"/>
        </w:rPr>
        <w:t>³</w:t>
      </w:r>
      <w:bookmarkEnd w:id="0"/>
      <w:r>
        <w:rPr>
          <w:rFonts w:hint="eastAsia" w:ascii="仿宋" w:hAnsi="仿宋" w:eastAsia="仿宋" w:cs="仿宋"/>
          <w:iCs/>
          <w:color w:val="000000"/>
          <w:kern w:val="0"/>
          <w:sz w:val="28"/>
          <w:szCs w:val="28"/>
        </w:rPr>
        <w:t>，协同处置煤矸石</w:t>
      </w:r>
      <w:r>
        <w:rPr>
          <w:rFonts w:hint="eastAsia" w:ascii="Times New Roman" w:eastAsia="仿宋"/>
          <w:iCs/>
          <w:color w:val="000000"/>
          <w:kern w:val="0"/>
          <w:sz w:val="28"/>
          <w:szCs w:val="28"/>
        </w:rPr>
        <w:t>59.33万吨，粉煤灰45.04万吨，回采煤炭资源187.28万吨，累计增加利润12.48亿元，初步实现了煤基固废的规模化处置与资源化利用。</w:t>
      </w:r>
    </w:p>
    <w:p w14:paraId="476EBD90">
      <w:pPr>
        <w:pStyle w:val="4"/>
        <w:spacing w:line="440" w:lineRule="exact"/>
        <w:ind w:firstLine="560"/>
        <w:outlineLvl w:val="1"/>
        <w:rPr>
          <w:rFonts w:ascii="Times New Roman" w:eastAsia="仿宋"/>
          <w:iCs/>
          <w:color w:val="000000"/>
          <w:kern w:val="0"/>
          <w:sz w:val="28"/>
          <w:szCs w:val="28"/>
        </w:rPr>
      </w:pPr>
      <w:r>
        <w:rPr>
          <w:rFonts w:hint="eastAsia" w:ascii="Times New Roman" w:eastAsia="仿宋"/>
          <w:iCs/>
          <w:color w:val="000000"/>
          <w:kern w:val="0"/>
          <w:sz w:val="28"/>
          <w:szCs w:val="28"/>
        </w:rPr>
        <w:t>项目研究成果丰富了大型煤炭基地多源煤基固废生态环境科学理论和西部生态脆弱区煤炭资源绿色开采理论与技术体系，有力支撑了多源煤基固废资源化协同利用科技水平，有力支撑了国家大型煤炭基地“煤-电-化-冶”产业集群绿色可持续发展，具有显著的生态效益及经济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43323E"/>
    <w:multiLevelType w:val="multilevel"/>
    <w:tmpl w:val="5C43323E"/>
    <w:lvl w:ilvl="0" w:tentative="0">
      <w:start w:val="1"/>
      <w:numFmt w:val="decimal"/>
      <w:lvlText w:val="%1."/>
      <w:lvlJc w:val="left"/>
      <w:pPr>
        <w:ind w:left="922" w:hanging="360"/>
      </w:pPr>
      <w:rPr>
        <w:rFonts w:hint="default"/>
      </w:rPr>
    </w:lvl>
    <w:lvl w:ilvl="1" w:tentative="0">
      <w:start w:val="1"/>
      <w:numFmt w:val="lowerLetter"/>
      <w:lvlText w:val="%2)"/>
      <w:lvlJc w:val="left"/>
      <w:pPr>
        <w:ind w:left="1442" w:hanging="440"/>
      </w:pPr>
    </w:lvl>
    <w:lvl w:ilvl="2" w:tentative="0">
      <w:start w:val="1"/>
      <w:numFmt w:val="lowerRoman"/>
      <w:lvlText w:val="%3."/>
      <w:lvlJc w:val="right"/>
      <w:pPr>
        <w:ind w:left="1882" w:hanging="440"/>
      </w:pPr>
    </w:lvl>
    <w:lvl w:ilvl="3" w:tentative="0">
      <w:start w:val="1"/>
      <w:numFmt w:val="decimal"/>
      <w:lvlText w:val="%4."/>
      <w:lvlJc w:val="left"/>
      <w:pPr>
        <w:ind w:left="2322" w:hanging="440"/>
      </w:pPr>
    </w:lvl>
    <w:lvl w:ilvl="4" w:tentative="0">
      <w:start w:val="1"/>
      <w:numFmt w:val="lowerLetter"/>
      <w:lvlText w:val="%5)"/>
      <w:lvlJc w:val="left"/>
      <w:pPr>
        <w:ind w:left="2762" w:hanging="440"/>
      </w:pPr>
    </w:lvl>
    <w:lvl w:ilvl="5" w:tentative="0">
      <w:start w:val="1"/>
      <w:numFmt w:val="lowerRoman"/>
      <w:lvlText w:val="%6."/>
      <w:lvlJc w:val="right"/>
      <w:pPr>
        <w:ind w:left="3202" w:hanging="440"/>
      </w:pPr>
    </w:lvl>
    <w:lvl w:ilvl="6" w:tentative="0">
      <w:start w:val="1"/>
      <w:numFmt w:val="decimal"/>
      <w:lvlText w:val="%7."/>
      <w:lvlJc w:val="left"/>
      <w:pPr>
        <w:ind w:left="3642" w:hanging="440"/>
      </w:pPr>
    </w:lvl>
    <w:lvl w:ilvl="7" w:tentative="0">
      <w:start w:val="1"/>
      <w:numFmt w:val="lowerLetter"/>
      <w:lvlText w:val="%8)"/>
      <w:lvlJc w:val="left"/>
      <w:pPr>
        <w:ind w:left="4082" w:hanging="440"/>
      </w:pPr>
    </w:lvl>
    <w:lvl w:ilvl="8" w:tentative="0">
      <w:start w:val="1"/>
      <w:numFmt w:val="lowerRoman"/>
      <w:lvlText w:val="%9."/>
      <w:lvlJc w:val="right"/>
      <w:pPr>
        <w:ind w:left="4522" w:hanging="440"/>
      </w:pPr>
    </w:lvl>
  </w:abstractNum>
  <w:abstractNum w:abstractNumId="1">
    <w:nsid w:val="5E2D253E"/>
    <w:multiLevelType w:val="multilevel"/>
    <w:tmpl w:val="5E2D253E"/>
    <w:lvl w:ilvl="0" w:tentative="0">
      <w:start w:val="1"/>
      <w:numFmt w:val="japaneseCounting"/>
      <w:lvlText w:val="%1、"/>
      <w:lvlJc w:val="left"/>
      <w:pPr>
        <w:ind w:left="720" w:hanging="720"/>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yM2M5ODliOWU5NWEwM2RiZThlYjNiZTMyN2I2N2IifQ=="/>
  </w:docVars>
  <w:rsids>
    <w:rsidRoot w:val="00900E3F"/>
    <w:rsid w:val="00021C2C"/>
    <w:rsid w:val="00057894"/>
    <w:rsid w:val="00070D1B"/>
    <w:rsid w:val="00087C8F"/>
    <w:rsid w:val="000C2601"/>
    <w:rsid w:val="000F122D"/>
    <w:rsid w:val="00122338"/>
    <w:rsid w:val="0013199D"/>
    <w:rsid w:val="00151FCE"/>
    <w:rsid w:val="001923DA"/>
    <w:rsid w:val="001D650F"/>
    <w:rsid w:val="00250BDB"/>
    <w:rsid w:val="00261E0B"/>
    <w:rsid w:val="002A4663"/>
    <w:rsid w:val="002C72AD"/>
    <w:rsid w:val="00346019"/>
    <w:rsid w:val="00377510"/>
    <w:rsid w:val="003D7EF3"/>
    <w:rsid w:val="00426F55"/>
    <w:rsid w:val="0044179C"/>
    <w:rsid w:val="00441E9A"/>
    <w:rsid w:val="00455F55"/>
    <w:rsid w:val="0046329D"/>
    <w:rsid w:val="00467580"/>
    <w:rsid w:val="00480AAE"/>
    <w:rsid w:val="004811CA"/>
    <w:rsid w:val="004B4115"/>
    <w:rsid w:val="004C7625"/>
    <w:rsid w:val="004D45F1"/>
    <w:rsid w:val="004E4120"/>
    <w:rsid w:val="00557FE0"/>
    <w:rsid w:val="00565C1F"/>
    <w:rsid w:val="005B30FA"/>
    <w:rsid w:val="005C2FDF"/>
    <w:rsid w:val="005C5CC3"/>
    <w:rsid w:val="005D0384"/>
    <w:rsid w:val="00620201"/>
    <w:rsid w:val="0065091D"/>
    <w:rsid w:val="0076448A"/>
    <w:rsid w:val="008462DA"/>
    <w:rsid w:val="00873C7F"/>
    <w:rsid w:val="00877867"/>
    <w:rsid w:val="008B49FD"/>
    <w:rsid w:val="00900E3F"/>
    <w:rsid w:val="0090491C"/>
    <w:rsid w:val="00952D64"/>
    <w:rsid w:val="00985D5C"/>
    <w:rsid w:val="009A2961"/>
    <w:rsid w:val="009A4B62"/>
    <w:rsid w:val="00A131D5"/>
    <w:rsid w:val="00A43062"/>
    <w:rsid w:val="00AB494F"/>
    <w:rsid w:val="00AB4BBD"/>
    <w:rsid w:val="00AC429E"/>
    <w:rsid w:val="00AD2F12"/>
    <w:rsid w:val="00B30A08"/>
    <w:rsid w:val="00B3314B"/>
    <w:rsid w:val="00B338C4"/>
    <w:rsid w:val="00B76699"/>
    <w:rsid w:val="00BC3BBF"/>
    <w:rsid w:val="00C25177"/>
    <w:rsid w:val="00C6479E"/>
    <w:rsid w:val="00C92BA9"/>
    <w:rsid w:val="00CA1B25"/>
    <w:rsid w:val="00CB5C03"/>
    <w:rsid w:val="00CD5B3E"/>
    <w:rsid w:val="00CE197F"/>
    <w:rsid w:val="00D149D5"/>
    <w:rsid w:val="00D96D23"/>
    <w:rsid w:val="00DB6EED"/>
    <w:rsid w:val="00DC4737"/>
    <w:rsid w:val="00DF23D5"/>
    <w:rsid w:val="00E00A0C"/>
    <w:rsid w:val="00E44C81"/>
    <w:rsid w:val="00EC269B"/>
    <w:rsid w:val="00ED3B90"/>
    <w:rsid w:val="00F372ED"/>
    <w:rsid w:val="00F709C0"/>
    <w:rsid w:val="00FD4ED6"/>
    <w:rsid w:val="00FE2F7B"/>
    <w:rsid w:val="00FE30BF"/>
    <w:rsid w:val="069F4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14:ligatures w14:val="none"/>
    </w:rPr>
  </w:style>
  <w:style w:type="paragraph" w:styleId="2">
    <w:name w:val="heading 1"/>
    <w:basedOn w:val="1"/>
    <w:link w:val="1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Plain Text"/>
    <w:basedOn w:val="1"/>
    <w:link w:val="11"/>
    <w:qFormat/>
    <w:uiPriority w:val="0"/>
    <w:pPr>
      <w:spacing w:line="360" w:lineRule="auto"/>
      <w:ind w:firstLine="480" w:firstLineChars="200"/>
    </w:pPr>
    <w:rPr>
      <w:rFonts w:ascii="仿宋_GB2312" w:hAnsi="Times New Roman"/>
      <w:sz w:val="24"/>
      <w:szCs w:val="24"/>
      <w14:ligatures w14:val="standardContextual"/>
    </w:rPr>
  </w:style>
  <w:style w:type="paragraph" w:styleId="5">
    <w:name w:val="footer"/>
    <w:basedOn w:val="1"/>
    <w:link w:val="10"/>
    <w:unhideWhenUsed/>
    <w:uiPriority w:val="0"/>
    <w:pPr>
      <w:tabs>
        <w:tab w:val="center" w:pos="4153"/>
        <w:tab w:val="right" w:pos="8306"/>
      </w:tabs>
      <w:snapToGrid w:val="0"/>
      <w:jc w:val="left"/>
    </w:pPr>
    <w:rPr>
      <w:sz w:val="18"/>
      <w:szCs w:val="18"/>
    </w:rPr>
  </w:style>
  <w:style w:type="paragraph" w:styleId="6">
    <w:name w:val="header"/>
    <w:basedOn w:val="1"/>
    <w:link w:val="9"/>
    <w:unhideWhenUsed/>
    <w:uiPriority w:val="99"/>
    <w:pPr>
      <w:tabs>
        <w:tab w:val="center" w:pos="4153"/>
        <w:tab w:val="right" w:pos="8306"/>
      </w:tabs>
      <w:snapToGrid w:val="0"/>
      <w:jc w:val="center"/>
    </w:pPr>
    <w:rPr>
      <w:sz w:val="18"/>
      <w:szCs w:val="18"/>
    </w:rPr>
  </w:style>
  <w:style w:type="character" w:customStyle="1" w:styleId="9">
    <w:name w:val="页眉 字符"/>
    <w:basedOn w:val="8"/>
    <w:link w:val="6"/>
    <w:uiPriority w:val="99"/>
    <w:rPr>
      <w:sz w:val="18"/>
      <w:szCs w:val="18"/>
    </w:rPr>
  </w:style>
  <w:style w:type="character" w:customStyle="1" w:styleId="10">
    <w:name w:val="页脚 字符"/>
    <w:basedOn w:val="8"/>
    <w:link w:val="5"/>
    <w:uiPriority w:val="99"/>
    <w:rPr>
      <w:sz w:val="18"/>
      <w:szCs w:val="18"/>
    </w:rPr>
  </w:style>
  <w:style w:type="character" w:customStyle="1" w:styleId="11">
    <w:name w:val="纯文本 字符"/>
    <w:link w:val="4"/>
    <w:uiPriority w:val="0"/>
    <w:rPr>
      <w:rFonts w:ascii="仿宋_GB2312" w:hAnsi="Times New Roman" w:eastAsia="宋体" w:cs="Times New Roman"/>
      <w:sz w:val="24"/>
      <w:szCs w:val="24"/>
    </w:rPr>
  </w:style>
  <w:style w:type="character" w:customStyle="1" w:styleId="12">
    <w:name w:val="纯文本 字符1"/>
    <w:basedOn w:val="8"/>
    <w:semiHidden/>
    <w:qFormat/>
    <w:uiPriority w:val="99"/>
    <w:rPr>
      <w:rFonts w:hAnsi="Courier New" w:cs="Courier New" w:asciiTheme="minorEastAsia"/>
      <w14:ligatures w14:val="none"/>
    </w:rPr>
  </w:style>
  <w:style w:type="paragraph" w:customStyle="1" w:styleId="13">
    <w:name w:val="001-正文"/>
    <w:basedOn w:val="3"/>
    <w:link w:val="14"/>
    <w:qFormat/>
    <w:uiPriority w:val="0"/>
    <w:pPr>
      <w:adjustRightInd w:val="0"/>
      <w:spacing w:line="440" w:lineRule="exact"/>
      <w:ind w:firstLine="200"/>
      <w:textAlignment w:val="center"/>
    </w:pPr>
    <w:rPr>
      <w:rFonts w:ascii="Times New Roman" w:hAnsi="Times New Roman"/>
      <w:color w:val="000000"/>
      <w:kern w:val="0"/>
      <w:sz w:val="24"/>
      <w:szCs w:val="24"/>
    </w:rPr>
  </w:style>
  <w:style w:type="character" w:customStyle="1" w:styleId="14">
    <w:name w:val="001-正文 字符"/>
    <w:link w:val="13"/>
    <w:qFormat/>
    <w:uiPriority w:val="0"/>
    <w:rPr>
      <w:rFonts w:ascii="Times New Roman" w:hAnsi="Times New Roman" w:eastAsia="宋体" w:cs="Times New Roman"/>
      <w:color w:val="000000"/>
      <w:kern w:val="0"/>
      <w:sz w:val="24"/>
      <w:szCs w:val="24"/>
      <w14:ligatures w14:val="none"/>
    </w:rPr>
  </w:style>
  <w:style w:type="paragraph" w:styleId="15">
    <w:name w:val="List Paragraph"/>
    <w:basedOn w:val="1"/>
    <w:qFormat/>
    <w:uiPriority w:val="34"/>
    <w:pPr>
      <w:ind w:firstLine="420" w:firstLineChars="200"/>
    </w:pPr>
  </w:style>
  <w:style w:type="paragraph" w:customStyle="1" w:styleId="16">
    <w:name w:val="Char Char Char Char"/>
    <w:basedOn w:val="1"/>
    <w:qFormat/>
    <w:uiPriority w:val="0"/>
    <w:rPr>
      <w:rFonts w:ascii="Times New Roman" w:hAnsi="Times New Roman"/>
      <w:szCs w:val="24"/>
    </w:rPr>
  </w:style>
  <w:style w:type="character" w:customStyle="1" w:styleId="17">
    <w:name w:val="标题 1 字符"/>
    <w:basedOn w:val="8"/>
    <w:link w:val="2"/>
    <w:qFormat/>
    <w:uiPriority w:val="9"/>
    <w:rPr>
      <w:rFonts w:ascii="宋体" w:hAnsi="宋体" w:eastAsia="宋体" w:cs="宋体"/>
      <w:b/>
      <w:bCs/>
      <w:kern w:val="36"/>
      <w:sz w:val="48"/>
      <w:szCs w:val="48"/>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2781</Words>
  <Characters>2920</Characters>
  <Lines>21</Lines>
  <Paragraphs>6</Paragraphs>
  <TotalTime>6</TotalTime>
  <ScaleCrop>false</ScaleCrop>
  <LinksUpToDate>false</LinksUpToDate>
  <CharactersWithSpaces>2940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2024-09-10T06:49:00Z</dcterms:created>
  <dc:creator>王 美</dc:creator>
  <cp:lastModifiedBy>马超</cp:lastModifiedBy>
  <dcterms:modified xsi:type="dcterms:W3CDTF">2024-09-10T06:56:59Z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9E83E93EAA284D528E0A187A1C3AA4E8_12</vt:lpwstr>
  </property>
</Properties>
</file>